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20AC4" w14:textId="77777777" w:rsidR="00B60C38" w:rsidRDefault="007E214F" w:rsidP="00B60C38">
      <w:pPr>
        <w:pStyle w:val="Kop1"/>
      </w:pPr>
      <w:r>
        <w:t>Memo</w:t>
      </w:r>
    </w:p>
    <w:p w14:paraId="4A720AC5" w14:textId="77777777" w:rsidR="00A60EFC" w:rsidRPr="00A60EFC" w:rsidRDefault="00A60EFC" w:rsidP="00A60EFC"/>
    <w:tbl>
      <w:tblPr>
        <w:tblW w:w="9498" w:type="dxa"/>
        <w:tblLayout w:type="fixed"/>
        <w:tblCellMar>
          <w:left w:w="0" w:type="dxa"/>
          <w:right w:w="0" w:type="dxa"/>
        </w:tblCellMar>
        <w:tblLook w:val="0000" w:firstRow="0" w:lastRow="0" w:firstColumn="0" w:lastColumn="0" w:noHBand="0" w:noVBand="0"/>
      </w:tblPr>
      <w:tblGrid>
        <w:gridCol w:w="1418"/>
        <w:gridCol w:w="190"/>
        <w:gridCol w:w="7890"/>
      </w:tblGrid>
      <w:tr w:rsidR="007E214F" w14:paraId="4A720AC9" w14:textId="77777777" w:rsidTr="00905C2F">
        <w:tc>
          <w:tcPr>
            <w:tcW w:w="1418" w:type="dxa"/>
          </w:tcPr>
          <w:p w14:paraId="4A720AC6" w14:textId="77777777" w:rsidR="007E214F" w:rsidRPr="00BF221C" w:rsidRDefault="007E214F" w:rsidP="007E214F">
            <w:pPr>
              <w:spacing w:line="480" w:lineRule="auto"/>
            </w:pPr>
            <w:r w:rsidRPr="00BF221C">
              <w:t>Aan</w:t>
            </w:r>
          </w:p>
        </w:tc>
        <w:tc>
          <w:tcPr>
            <w:tcW w:w="190" w:type="dxa"/>
          </w:tcPr>
          <w:p w14:paraId="4A720AC7" w14:textId="77777777" w:rsidR="007E214F" w:rsidRPr="00051314" w:rsidRDefault="007E214F" w:rsidP="007E214F">
            <w:pPr>
              <w:spacing w:line="480" w:lineRule="auto"/>
            </w:pPr>
            <w:r w:rsidRPr="00051314">
              <w:t>:</w:t>
            </w:r>
          </w:p>
        </w:tc>
        <w:tc>
          <w:tcPr>
            <w:tcW w:w="7890" w:type="dxa"/>
          </w:tcPr>
          <w:p w14:paraId="4A720AC8" w14:textId="77777777" w:rsidR="007E214F" w:rsidRPr="00BF221C" w:rsidRDefault="00867BA6" w:rsidP="007E214F">
            <w:pPr>
              <w:spacing w:line="480" w:lineRule="auto"/>
            </w:pPr>
            <w:bookmarkStart w:id="0" w:name="blwAan"/>
            <w:bookmarkEnd w:id="0"/>
            <w:r>
              <w:t>John Niemeijer</w:t>
            </w:r>
            <w:r w:rsidR="006E028C">
              <w:t xml:space="preserve"> </w:t>
            </w:r>
          </w:p>
        </w:tc>
      </w:tr>
      <w:tr w:rsidR="007E214F" w14:paraId="4A720ACD" w14:textId="77777777" w:rsidTr="00905C2F">
        <w:tc>
          <w:tcPr>
            <w:tcW w:w="1418" w:type="dxa"/>
          </w:tcPr>
          <w:p w14:paraId="4A720ACA" w14:textId="77777777" w:rsidR="007E214F" w:rsidRPr="00BF221C" w:rsidRDefault="007E214F" w:rsidP="007E214F">
            <w:pPr>
              <w:spacing w:line="480" w:lineRule="auto"/>
            </w:pPr>
            <w:r w:rsidRPr="00BF221C">
              <w:t>Van</w:t>
            </w:r>
          </w:p>
        </w:tc>
        <w:tc>
          <w:tcPr>
            <w:tcW w:w="190" w:type="dxa"/>
          </w:tcPr>
          <w:p w14:paraId="4A720ACB" w14:textId="77777777" w:rsidR="007E214F" w:rsidRPr="00051314" w:rsidRDefault="007E214F" w:rsidP="007E214F">
            <w:pPr>
              <w:spacing w:line="480" w:lineRule="auto"/>
            </w:pPr>
            <w:r w:rsidRPr="00051314">
              <w:t>:</w:t>
            </w:r>
          </w:p>
        </w:tc>
        <w:tc>
          <w:tcPr>
            <w:tcW w:w="7890" w:type="dxa"/>
          </w:tcPr>
          <w:p w14:paraId="4A720ACC" w14:textId="77777777" w:rsidR="007E214F" w:rsidRPr="00BF221C" w:rsidRDefault="00867BA6" w:rsidP="007E214F">
            <w:pPr>
              <w:spacing w:line="480" w:lineRule="auto"/>
            </w:pPr>
            <w:bookmarkStart w:id="1" w:name="blwVan"/>
            <w:bookmarkEnd w:id="1"/>
            <w:r>
              <w:t>Hans Steunenberg</w:t>
            </w:r>
          </w:p>
        </w:tc>
      </w:tr>
      <w:tr w:rsidR="007E214F" w14:paraId="4A720AD1" w14:textId="77777777" w:rsidTr="00905C2F">
        <w:tc>
          <w:tcPr>
            <w:tcW w:w="1418" w:type="dxa"/>
          </w:tcPr>
          <w:p w14:paraId="4A720ACE" w14:textId="77777777" w:rsidR="007E214F" w:rsidRPr="00BF221C" w:rsidRDefault="007E214F" w:rsidP="007E214F">
            <w:pPr>
              <w:spacing w:line="480" w:lineRule="auto"/>
            </w:pPr>
            <w:r>
              <w:t>Telefoon</w:t>
            </w:r>
          </w:p>
        </w:tc>
        <w:tc>
          <w:tcPr>
            <w:tcW w:w="190" w:type="dxa"/>
          </w:tcPr>
          <w:p w14:paraId="4A720ACF" w14:textId="77777777" w:rsidR="007E214F" w:rsidRDefault="007E214F" w:rsidP="007E214F">
            <w:pPr>
              <w:spacing w:line="480" w:lineRule="auto"/>
            </w:pPr>
            <w:r>
              <w:t>:</w:t>
            </w:r>
          </w:p>
        </w:tc>
        <w:tc>
          <w:tcPr>
            <w:tcW w:w="7890" w:type="dxa"/>
          </w:tcPr>
          <w:p w14:paraId="4A720AD0" w14:textId="77777777" w:rsidR="007E214F" w:rsidRPr="00BF221C" w:rsidRDefault="007E214F" w:rsidP="007E214F">
            <w:pPr>
              <w:spacing w:line="480" w:lineRule="auto"/>
            </w:pPr>
            <w:bookmarkStart w:id="2" w:name="blwTelefoon"/>
            <w:bookmarkEnd w:id="2"/>
          </w:p>
        </w:tc>
      </w:tr>
      <w:tr w:rsidR="007E214F" w14:paraId="4A720AD5" w14:textId="77777777" w:rsidTr="00905C2F">
        <w:tc>
          <w:tcPr>
            <w:tcW w:w="1418" w:type="dxa"/>
          </w:tcPr>
          <w:p w14:paraId="4A720AD2" w14:textId="77777777" w:rsidR="007E214F" w:rsidRPr="00BF221C" w:rsidRDefault="007E214F" w:rsidP="007E214F">
            <w:pPr>
              <w:spacing w:line="480" w:lineRule="auto"/>
            </w:pPr>
            <w:r>
              <w:t>E-mail</w:t>
            </w:r>
          </w:p>
        </w:tc>
        <w:tc>
          <w:tcPr>
            <w:tcW w:w="190" w:type="dxa"/>
          </w:tcPr>
          <w:p w14:paraId="4A720AD3" w14:textId="77777777" w:rsidR="007E214F" w:rsidRDefault="007E214F" w:rsidP="007E214F">
            <w:pPr>
              <w:spacing w:line="480" w:lineRule="auto"/>
            </w:pPr>
            <w:r>
              <w:t>:</w:t>
            </w:r>
          </w:p>
        </w:tc>
        <w:tc>
          <w:tcPr>
            <w:tcW w:w="7890" w:type="dxa"/>
          </w:tcPr>
          <w:p w14:paraId="4A720AD4" w14:textId="77777777" w:rsidR="007E214F" w:rsidRPr="00BF221C" w:rsidRDefault="00867BA6" w:rsidP="007E214F">
            <w:pPr>
              <w:spacing w:line="480" w:lineRule="auto"/>
            </w:pPr>
            <w:bookmarkStart w:id="3" w:name="blwEmail"/>
            <w:bookmarkEnd w:id="3"/>
            <w:r>
              <w:t>hsteunenberg@accres.nl</w:t>
            </w:r>
          </w:p>
        </w:tc>
      </w:tr>
      <w:tr w:rsidR="007E214F" w14:paraId="4A720AD9" w14:textId="77777777" w:rsidTr="00905C2F">
        <w:tc>
          <w:tcPr>
            <w:tcW w:w="1418" w:type="dxa"/>
          </w:tcPr>
          <w:p w14:paraId="4A720AD6" w14:textId="77777777" w:rsidR="007E214F" w:rsidRPr="00BF221C" w:rsidRDefault="007E214F" w:rsidP="007E214F">
            <w:pPr>
              <w:spacing w:line="480" w:lineRule="auto"/>
            </w:pPr>
            <w:r w:rsidRPr="00BF221C">
              <w:t>Kopie aan</w:t>
            </w:r>
          </w:p>
        </w:tc>
        <w:tc>
          <w:tcPr>
            <w:tcW w:w="190" w:type="dxa"/>
          </w:tcPr>
          <w:p w14:paraId="4A720AD7" w14:textId="77777777" w:rsidR="007E214F" w:rsidRPr="00051314" w:rsidRDefault="007E214F" w:rsidP="007E214F">
            <w:pPr>
              <w:spacing w:line="480" w:lineRule="auto"/>
            </w:pPr>
            <w:r>
              <w:t>:</w:t>
            </w:r>
          </w:p>
        </w:tc>
        <w:tc>
          <w:tcPr>
            <w:tcW w:w="7890" w:type="dxa"/>
          </w:tcPr>
          <w:p w14:paraId="4A720AD8" w14:textId="77777777" w:rsidR="007E214F" w:rsidRPr="00BF221C" w:rsidRDefault="007E214F" w:rsidP="007E214F">
            <w:pPr>
              <w:spacing w:line="480" w:lineRule="auto"/>
            </w:pPr>
            <w:bookmarkStart w:id="4" w:name="blwKopieAan"/>
            <w:bookmarkEnd w:id="4"/>
          </w:p>
        </w:tc>
      </w:tr>
      <w:tr w:rsidR="007E214F" w14:paraId="4A720ADD" w14:textId="77777777" w:rsidTr="001E2692">
        <w:trPr>
          <w:trHeight w:val="80"/>
        </w:trPr>
        <w:tc>
          <w:tcPr>
            <w:tcW w:w="1418" w:type="dxa"/>
          </w:tcPr>
          <w:p w14:paraId="4A720ADA" w14:textId="77777777" w:rsidR="007E214F" w:rsidRPr="00BF221C" w:rsidRDefault="007E214F" w:rsidP="007E214F">
            <w:pPr>
              <w:spacing w:line="480" w:lineRule="auto"/>
            </w:pPr>
            <w:r>
              <w:t>Betreft</w:t>
            </w:r>
          </w:p>
        </w:tc>
        <w:tc>
          <w:tcPr>
            <w:tcW w:w="190" w:type="dxa"/>
          </w:tcPr>
          <w:p w14:paraId="4A720ADB" w14:textId="77777777" w:rsidR="007E214F" w:rsidRPr="00051314" w:rsidRDefault="007E214F" w:rsidP="007E214F">
            <w:pPr>
              <w:spacing w:line="480" w:lineRule="auto"/>
            </w:pPr>
            <w:r w:rsidRPr="00051314">
              <w:t>:</w:t>
            </w:r>
          </w:p>
        </w:tc>
        <w:tc>
          <w:tcPr>
            <w:tcW w:w="7890" w:type="dxa"/>
          </w:tcPr>
          <w:p w14:paraId="4A720ADC" w14:textId="77777777" w:rsidR="007E214F" w:rsidRPr="00BF221C" w:rsidRDefault="00867BA6" w:rsidP="007E214F">
            <w:pPr>
              <w:spacing w:line="480" w:lineRule="auto"/>
            </w:pPr>
            <w:bookmarkStart w:id="5" w:name="blwBetreft"/>
            <w:bookmarkEnd w:id="5"/>
            <w:r>
              <w:t>BTW bij Accres</w:t>
            </w:r>
          </w:p>
        </w:tc>
      </w:tr>
      <w:tr w:rsidR="005909F2" w14:paraId="4A720AE1" w14:textId="77777777" w:rsidTr="001E2692">
        <w:trPr>
          <w:trHeight w:val="80"/>
        </w:trPr>
        <w:tc>
          <w:tcPr>
            <w:tcW w:w="1418" w:type="dxa"/>
          </w:tcPr>
          <w:p w14:paraId="4A720ADE" w14:textId="77777777" w:rsidR="005909F2" w:rsidRDefault="005909F2" w:rsidP="007E214F">
            <w:pPr>
              <w:spacing w:line="480" w:lineRule="auto"/>
            </w:pPr>
            <w:r>
              <w:t>Datum</w:t>
            </w:r>
          </w:p>
        </w:tc>
        <w:tc>
          <w:tcPr>
            <w:tcW w:w="190" w:type="dxa"/>
          </w:tcPr>
          <w:p w14:paraId="4A720ADF" w14:textId="77777777" w:rsidR="005909F2" w:rsidRPr="00051314" w:rsidRDefault="005909F2" w:rsidP="007E214F">
            <w:pPr>
              <w:spacing w:line="480" w:lineRule="auto"/>
            </w:pPr>
            <w:r>
              <w:t>:</w:t>
            </w:r>
          </w:p>
        </w:tc>
        <w:tc>
          <w:tcPr>
            <w:tcW w:w="7890" w:type="dxa"/>
          </w:tcPr>
          <w:p w14:paraId="4A720AE0" w14:textId="77777777" w:rsidR="00867BA6" w:rsidRPr="00867BA6" w:rsidRDefault="00867BA6" w:rsidP="00867BA6">
            <w:pPr>
              <w:spacing w:line="480" w:lineRule="auto"/>
            </w:pPr>
            <w:r>
              <w:t>2</w:t>
            </w:r>
            <w:r w:rsidR="00B1177B">
              <w:t>9</w:t>
            </w:r>
            <w:r>
              <w:t xml:space="preserve"> mei 2019</w:t>
            </w:r>
          </w:p>
        </w:tc>
      </w:tr>
    </w:tbl>
    <w:p w14:paraId="4A720AE2" w14:textId="77777777" w:rsidR="00B60C38" w:rsidRDefault="00B60C38" w:rsidP="00B60C38"/>
    <w:p w14:paraId="4A720AE3" w14:textId="77777777" w:rsidR="006E028C" w:rsidRDefault="00867BA6" w:rsidP="006E028C">
      <w:pPr>
        <w:pStyle w:val="Plattetekst"/>
      </w:pPr>
      <w:r>
        <w:rPr>
          <w:b/>
        </w:rPr>
        <w:t>Historie 1998/1999 – overgang van gemeentelijke dienst naar een zelfstandig Accres.</w:t>
      </w:r>
    </w:p>
    <w:p w14:paraId="4A720AE4" w14:textId="77777777" w:rsidR="00867BA6" w:rsidRDefault="00502D8B" w:rsidP="006E028C">
      <w:pPr>
        <w:pStyle w:val="Plattetekst"/>
      </w:pPr>
      <w:r>
        <w:t xml:space="preserve">In afstemming tussen de Gemeente Apeldoorn, EY en de Belastingdienst is bepaald dat de subsidies die de Gemeente aan Accres verstrekt niet onderworpen </w:t>
      </w:r>
      <w:r w:rsidR="00BC473B">
        <w:t>zijn</w:t>
      </w:r>
      <w:r>
        <w:t xml:space="preserve"> aan de Omzetbelasting, zo lang de feitelijke situatie niet verandert.</w:t>
      </w:r>
      <w:r w:rsidR="00FE555E">
        <w:t xml:space="preserve"> Zie bijlage 1.</w:t>
      </w:r>
    </w:p>
    <w:p w14:paraId="4A720AE5" w14:textId="77777777" w:rsidR="00502D8B" w:rsidRDefault="00502D8B" w:rsidP="006E028C">
      <w:pPr>
        <w:pStyle w:val="Plattetekst"/>
      </w:pPr>
      <w:r>
        <w:t xml:space="preserve">Deze situatie </w:t>
      </w:r>
      <w:r w:rsidR="00B84455">
        <w:t xml:space="preserve">heeft geduurd tot de invoering van de </w:t>
      </w:r>
      <w:r w:rsidR="00A2140D">
        <w:t>huidige ‘</w:t>
      </w:r>
      <w:r w:rsidR="00B84455">
        <w:t xml:space="preserve">DVO en </w:t>
      </w:r>
      <w:r w:rsidR="00BC473B">
        <w:t>S</w:t>
      </w:r>
      <w:r w:rsidR="00B84455">
        <w:t>ubsidie</w:t>
      </w:r>
      <w:r w:rsidR="00A2140D">
        <w:t xml:space="preserve">s’ </w:t>
      </w:r>
      <w:r w:rsidR="00B84455">
        <w:t>met ingang van 2017.</w:t>
      </w:r>
    </w:p>
    <w:p w14:paraId="4A720AE6" w14:textId="77777777" w:rsidR="00B84455" w:rsidRDefault="00B84455" w:rsidP="006E028C">
      <w:pPr>
        <w:pStyle w:val="Plattetekst"/>
      </w:pPr>
    </w:p>
    <w:p w14:paraId="4A720AE7" w14:textId="77777777" w:rsidR="00742C00" w:rsidRDefault="00742C00" w:rsidP="006E028C">
      <w:pPr>
        <w:pStyle w:val="Plattetekst"/>
        <w:rPr>
          <w:b/>
        </w:rPr>
      </w:pPr>
      <w:r>
        <w:rPr>
          <w:b/>
        </w:rPr>
        <w:t>Uitwerking in de praktijk 1999 – 201</w:t>
      </w:r>
      <w:r w:rsidR="00F2258F">
        <w:rPr>
          <w:b/>
        </w:rPr>
        <w:t>6</w:t>
      </w:r>
      <w:r w:rsidR="00B45543">
        <w:rPr>
          <w:b/>
        </w:rPr>
        <w:t xml:space="preserve"> voor Accres Apeldoorn</w:t>
      </w:r>
    </w:p>
    <w:p w14:paraId="4A720AE8" w14:textId="77777777" w:rsidR="00742C00" w:rsidRDefault="00742C00" w:rsidP="006E028C">
      <w:pPr>
        <w:pStyle w:val="Plattetekst"/>
      </w:pPr>
      <w:r>
        <w:t xml:space="preserve">In 1999 is gestart met een situatie </w:t>
      </w:r>
      <w:r w:rsidR="000F5D17">
        <w:t xml:space="preserve">waarin de omzet (excl. Subsidie Gemeente) te verdelen in omzet met BTW 0%  en omzet met BTW laag- en hoog percentage. </w:t>
      </w:r>
      <w:r w:rsidR="00A2140D">
        <w:t>Uitgangspunt was</w:t>
      </w:r>
      <w:r w:rsidR="000F5D17">
        <w:t xml:space="preserve"> een verdeling van 60% tegen 0% en 40% tegen laag/hoog. Er is dus 40% van de voorbelasting in de aangifte meegenomen en de overige 60% is als niet-verrekenbare BTW in de kosten geboekt. </w:t>
      </w:r>
    </w:p>
    <w:p w14:paraId="4A720AE9" w14:textId="77777777" w:rsidR="000F5D17" w:rsidRDefault="000F5D17" w:rsidP="006E028C">
      <w:pPr>
        <w:pStyle w:val="Plattetekst"/>
      </w:pPr>
      <w:r>
        <w:t xml:space="preserve">Aan het einde van </w:t>
      </w:r>
      <w:r w:rsidR="002E5121">
        <w:t>elk</w:t>
      </w:r>
      <w:r>
        <w:t xml:space="preserve"> jaar is de werkelijke verdeling gemaakt en is een suppletie aangifte gemaakt voor de correctie naar de werkelijkheid. Deze was</w:t>
      </w:r>
      <w:r w:rsidR="00A2140D">
        <w:t xml:space="preserve"> bijvoorbeeld</w:t>
      </w:r>
      <w:r>
        <w:t xml:space="preserve"> voor 1999: 44,1% tegen BTW 0% en 55,9%</w:t>
      </w:r>
      <w:r w:rsidR="00D61854">
        <w:t xml:space="preserve"> belast</w:t>
      </w:r>
      <w:r>
        <w:t>.</w:t>
      </w:r>
    </w:p>
    <w:p w14:paraId="4A720AEA" w14:textId="77777777" w:rsidR="001941CF" w:rsidRDefault="001941CF" w:rsidP="006E028C">
      <w:pPr>
        <w:pStyle w:val="Plattetekst"/>
      </w:pPr>
      <w:r>
        <w:t xml:space="preserve">Deze systematiek is </w:t>
      </w:r>
      <w:r w:rsidR="002224A8">
        <w:t>in grote lijnen onveranderd toegepast tot en met het boekjaar 201</w:t>
      </w:r>
      <w:r w:rsidR="00A2140D">
        <w:t>6</w:t>
      </w:r>
      <w:r w:rsidR="002224A8">
        <w:t>. Op een aantal heel specifieke punten zijn echter wel aanpassingen geweest.</w:t>
      </w:r>
    </w:p>
    <w:p w14:paraId="4A720AEB" w14:textId="77777777" w:rsidR="00A2140D" w:rsidRDefault="00A2140D" w:rsidP="006E028C">
      <w:pPr>
        <w:pStyle w:val="Plattetekst"/>
      </w:pPr>
    </w:p>
    <w:p w14:paraId="4A720AEC" w14:textId="77777777" w:rsidR="00A2140D" w:rsidRDefault="00603802" w:rsidP="006E028C">
      <w:pPr>
        <w:pStyle w:val="Plattetekst"/>
      </w:pPr>
      <w:r>
        <w:t xml:space="preserve">In oktober 2010 zijn 3 punten met de Belastingdienst afgestemd. </w:t>
      </w:r>
    </w:p>
    <w:p w14:paraId="4A720AED" w14:textId="77777777" w:rsidR="00A2140D" w:rsidRDefault="00603802" w:rsidP="00A2140D">
      <w:pPr>
        <w:pStyle w:val="Plattetekst"/>
        <w:numPr>
          <w:ilvl w:val="0"/>
          <w:numId w:val="4"/>
        </w:numPr>
      </w:pPr>
      <w:r>
        <w:t>Het 1</w:t>
      </w:r>
      <w:r w:rsidRPr="00603802">
        <w:rPr>
          <w:vertAlign w:val="superscript"/>
        </w:rPr>
        <w:t>e</w:t>
      </w:r>
      <w:r>
        <w:t xml:space="preserve"> punt is de behandeling van servicekosten</w:t>
      </w:r>
      <w:r w:rsidR="00A2140D">
        <w:t xml:space="preserve"> voor de sociaal culturele accommodaties</w:t>
      </w:r>
      <w:r>
        <w:t>, voor deze kosten is bepaald dat het regime voor de huur gevolgd wordt.</w:t>
      </w:r>
      <w:r w:rsidR="00A2140D">
        <w:t xml:space="preserve"> Zie bijlage 2.</w:t>
      </w:r>
    </w:p>
    <w:p w14:paraId="4A720AEE" w14:textId="77777777" w:rsidR="00A2140D" w:rsidRDefault="00603802" w:rsidP="00A2140D">
      <w:pPr>
        <w:pStyle w:val="Plattetekst"/>
        <w:numPr>
          <w:ilvl w:val="0"/>
          <w:numId w:val="4"/>
        </w:numPr>
      </w:pPr>
      <w:r>
        <w:t>Het 2</w:t>
      </w:r>
      <w:r w:rsidRPr="00603802">
        <w:rPr>
          <w:vertAlign w:val="superscript"/>
        </w:rPr>
        <w:t>e</w:t>
      </w:r>
      <w:r>
        <w:t xml:space="preserve"> punt is de een afspraak over de overheadkosten, voor deze kosten is afgesproken dat de </w:t>
      </w:r>
      <w:r w:rsidR="00A2140D">
        <w:t>BTW</w:t>
      </w:r>
      <w:r>
        <w:t xml:space="preserve"> verrekend wordt op basis van de omzet van individuele kostenplaatsen.</w:t>
      </w:r>
      <w:r w:rsidR="00A2140D">
        <w:t xml:space="preserve"> Zie bijlage 2.</w:t>
      </w:r>
    </w:p>
    <w:p w14:paraId="4A720AEF" w14:textId="77777777" w:rsidR="00603802" w:rsidRDefault="00603802" w:rsidP="00A2140D">
      <w:pPr>
        <w:pStyle w:val="Plattetekst"/>
        <w:numPr>
          <w:ilvl w:val="0"/>
          <w:numId w:val="4"/>
        </w:numPr>
      </w:pPr>
      <w:r>
        <w:t>Het 3</w:t>
      </w:r>
      <w:r w:rsidRPr="00603802">
        <w:rPr>
          <w:vertAlign w:val="superscript"/>
        </w:rPr>
        <w:t>e</w:t>
      </w:r>
      <w:r>
        <w:t xml:space="preserve"> punt gaat over omzetbelasting over </w:t>
      </w:r>
      <w:r w:rsidR="00F467A9">
        <w:t>een deel van de subsidie van de Gemeente Apeldoorn. Over het deel dat toegerekend moet worden aan het gebruik van de accommodaties door het basisonderwijs moet omzetbelasting worden afgedragen tegen het lage tarief.</w:t>
      </w:r>
      <w:r w:rsidR="00A2140D">
        <w:t xml:space="preserve"> Zie bijlage 3.</w:t>
      </w:r>
    </w:p>
    <w:p w14:paraId="4A720AF0" w14:textId="77777777" w:rsidR="00A2140D" w:rsidRDefault="00A2140D" w:rsidP="00A2140D">
      <w:pPr>
        <w:pStyle w:val="Plattetekst"/>
        <w:ind w:left="720"/>
      </w:pPr>
    </w:p>
    <w:p w14:paraId="4A720AF1" w14:textId="77777777" w:rsidR="00A2140D" w:rsidRDefault="00A2140D" w:rsidP="006E028C">
      <w:pPr>
        <w:pStyle w:val="Plattetekst"/>
      </w:pPr>
      <w:r>
        <w:t>In de praktijk werkt het als volgt:</w:t>
      </w:r>
    </w:p>
    <w:p w14:paraId="4A720AF2" w14:textId="77777777" w:rsidR="00D61854" w:rsidRDefault="00D61854" w:rsidP="00A2140D">
      <w:pPr>
        <w:pStyle w:val="Plattetekst"/>
        <w:numPr>
          <w:ilvl w:val="0"/>
          <w:numId w:val="4"/>
        </w:numPr>
      </w:pPr>
      <w:r>
        <w:t>Bij accommodaties die voor 100% van hun omzet belaste prestaties leveren, wordt 100% van de in rekening gebracht BTW in aftrek genomen.</w:t>
      </w:r>
    </w:p>
    <w:p w14:paraId="4A720AF3" w14:textId="77777777" w:rsidR="00D61854" w:rsidRDefault="00F467A9" w:rsidP="00A2140D">
      <w:pPr>
        <w:pStyle w:val="Plattetekst"/>
        <w:numPr>
          <w:ilvl w:val="0"/>
          <w:numId w:val="3"/>
        </w:numPr>
      </w:pPr>
      <w:r>
        <w:t>Bij accommodaties die niet voor 100</w:t>
      </w:r>
      <w:r w:rsidR="00D61854">
        <w:t>% van hun omzet belaste prestaties leveren, wordt i</w:t>
      </w:r>
      <w:r>
        <w:t xml:space="preserve">n het algemeen de </w:t>
      </w:r>
      <w:r w:rsidR="00D61854">
        <w:t xml:space="preserve">in rekening gebrachte BTW op de volgende manier in aftrek genomen: </w:t>
      </w:r>
    </w:p>
    <w:p w14:paraId="4A720AF4" w14:textId="77777777" w:rsidR="00D61854" w:rsidRDefault="00D61854" w:rsidP="00A2140D">
      <w:pPr>
        <w:pStyle w:val="Plattetekst"/>
        <w:numPr>
          <w:ilvl w:val="0"/>
          <w:numId w:val="5"/>
        </w:numPr>
      </w:pPr>
      <w:r>
        <w:lastRenderedPageBreak/>
        <w:t>100% belaste prestatie dan 100% aftrek.</w:t>
      </w:r>
    </w:p>
    <w:p w14:paraId="4A720AF5" w14:textId="77777777" w:rsidR="00D61854" w:rsidRDefault="00D61854" w:rsidP="00A2140D">
      <w:pPr>
        <w:pStyle w:val="Plattetekst"/>
        <w:numPr>
          <w:ilvl w:val="0"/>
          <w:numId w:val="5"/>
        </w:numPr>
      </w:pPr>
      <w:r>
        <w:t>100% onbelaste prestatie dan 0% aftrek.</w:t>
      </w:r>
    </w:p>
    <w:p w14:paraId="4A720AF6" w14:textId="77777777" w:rsidR="00D61854" w:rsidRDefault="00D61854" w:rsidP="00A2140D">
      <w:pPr>
        <w:pStyle w:val="Plattetekst"/>
        <w:numPr>
          <w:ilvl w:val="0"/>
          <w:numId w:val="5"/>
        </w:numPr>
      </w:pPr>
      <w:r>
        <w:t>Niet toe te wijzen omzet dan verdelen op basis van het aantal m2 belast/onbelaste prestaties.</w:t>
      </w:r>
    </w:p>
    <w:p w14:paraId="4A720AF7" w14:textId="77777777" w:rsidR="00A2140D" w:rsidRDefault="00A2140D" w:rsidP="00A2140D">
      <w:pPr>
        <w:pStyle w:val="Plattetekst"/>
        <w:ind w:left="1080"/>
      </w:pPr>
    </w:p>
    <w:p w14:paraId="4A720AF8" w14:textId="77777777" w:rsidR="005B60DF" w:rsidRDefault="005B60DF" w:rsidP="005B60DF">
      <w:pPr>
        <w:pStyle w:val="Plattetekst"/>
      </w:pPr>
      <w:r>
        <w:t>Via een suppletieaangifte eind 2010 zijn correcties, die verband hadden met bovenstaande afspraken, doorgevoerd over de jaren 200</w:t>
      </w:r>
      <w:r w:rsidR="00D5267A">
        <w:t>2</w:t>
      </w:r>
      <w:r>
        <w:t xml:space="preserve"> t/m 2010.</w:t>
      </w:r>
    </w:p>
    <w:p w14:paraId="4A720AF9" w14:textId="77777777" w:rsidR="006B111B" w:rsidRDefault="006B111B" w:rsidP="005B60DF">
      <w:pPr>
        <w:pStyle w:val="Plattetekst"/>
      </w:pPr>
      <w:r>
        <w:t>Voor alle Sociaal Culturele Accommodaties die een gemengd gebruik kennen</w:t>
      </w:r>
      <w:r w:rsidR="00073A9A">
        <w:t>,</w:t>
      </w:r>
      <w:r>
        <w:t xml:space="preserve"> zijn de m2 waar belaste prestaties plaatsvinden als percentage van de totale m2 eind 2010 vastgesteld. Deze percentages zijn gebruikt in </w:t>
      </w:r>
      <w:r w:rsidR="00CF5C61">
        <w:t>het</w:t>
      </w:r>
      <w:r>
        <w:t xml:space="preserve"> ja</w:t>
      </w:r>
      <w:r w:rsidR="00CF5C61">
        <w:t>a</w:t>
      </w:r>
      <w:r>
        <w:t>r 2011.</w:t>
      </w:r>
      <w:r w:rsidR="00CF5C61">
        <w:t xml:space="preserve"> </w:t>
      </w:r>
    </w:p>
    <w:p w14:paraId="4A720AFA" w14:textId="77777777" w:rsidR="00CF5C61" w:rsidRDefault="002E5121" w:rsidP="005B60DF">
      <w:pPr>
        <w:pStyle w:val="Plattetekst"/>
      </w:pPr>
      <w:r>
        <w:t>Aan het einde van</w:t>
      </w:r>
      <w:r w:rsidR="00CF5C61">
        <w:t xml:space="preserve"> elk jaar hierna is deze calculatie opnieuw gemaakt en op basis hiervan zijn suppletieaangiftes gedaan</w:t>
      </w:r>
      <w:r>
        <w:t xml:space="preserve"> voor het betreffende jaar</w:t>
      </w:r>
      <w:r w:rsidR="00CF5C61">
        <w:t>.</w:t>
      </w:r>
    </w:p>
    <w:p w14:paraId="4A720AFB" w14:textId="77777777" w:rsidR="002E5121" w:rsidRDefault="002E5121" w:rsidP="002E5121">
      <w:pPr>
        <w:pStyle w:val="Plattetekst"/>
        <w:numPr>
          <w:ilvl w:val="0"/>
          <w:numId w:val="3"/>
        </w:numPr>
      </w:pPr>
      <w:r>
        <w:t xml:space="preserve">Voorbeeld: over 2010 was het percentage 60%. Dit is gedurende 2011 in de aangiftes verwerkt. Eind 2011 gaf de calculatie 65% aan. Er is toen een suppletieaangifte gemaakt over 2011 voor het verschil tussen deze 65% en de 60%. In 2012 is weer gestart met 65% voor de aangiftes van 2012. </w:t>
      </w:r>
    </w:p>
    <w:p w14:paraId="4A720AFC" w14:textId="77777777" w:rsidR="00DC46D4" w:rsidRDefault="00DC46D4" w:rsidP="005B60DF">
      <w:pPr>
        <w:pStyle w:val="Plattetekst"/>
      </w:pPr>
    </w:p>
    <w:p w14:paraId="4A720AFD" w14:textId="77777777" w:rsidR="00DC46D4" w:rsidRDefault="004F679C" w:rsidP="005B60DF">
      <w:pPr>
        <w:pStyle w:val="Plattetekst"/>
        <w:rPr>
          <w:b/>
        </w:rPr>
      </w:pPr>
      <w:r>
        <w:rPr>
          <w:b/>
        </w:rPr>
        <w:t>Uitwerkingen in de praktijk vanaf 20170101 voor Accres Apeldoorn</w:t>
      </w:r>
    </w:p>
    <w:p w14:paraId="4A720AFE" w14:textId="77777777" w:rsidR="004F679C" w:rsidRDefault="004F679C" w:rsidP="005B60DF">
      <w:pPr>
        <w:pStyle w:val="Plattetekst"/>
      </w:pPr>
      <w:r>
        <w:t>Met inwerking treden van de nieuwe ‘DVO &amp; Subsidies’ afspraken zijn ook nieuwe afspraken gemaakt met de Belastingdienst over de Omzetbelasting.</w:t>
      </w:r>
    </w:p>
    <w:p w14:paraId="4A720AFF" w14:textId="77777777" w:rsidR="004F679C" w:rsidRDefault="004F679C" w:rsidP="005B60DF">
      <w:pPr>
        <w:pStyle w:val="Plattetekst"/>
      </w:pPr>
      <w:r>
        <w:t xml:space="preserve">In </w:t>
      </w:r>
      <w:r w:rsidR="002E5121">
        <w:t xml:space="preserve">de </w:t>
      </w:r>
      <w:r>
        <w:t>nieuwe afspraken vallen de ‘DVO &amp; Subsidies’ afspraken wel onder de Omzetbelasting. Accres factureert deze bedragen verhoogd met Omzetbelasting aan de Gemeente.</w:t>
      </w:r>
      <w:r w:rsidR="00916552">
        <w:t xml:space="preserve"> Zie bijlage 4.</w:t>
      </w:r>
    </w:p>
    <w:p w14:paraId="4A720B00" w14:textId="77777777" w:rsidR="004F679C" w:rsidRDefault="004F679C" w:rsidP="005B60DF">
      <w:pPr>
        <w:pStyle w:val="Plattetekst"/>
      </w:pPr>
      <w:r>
        <w:t>De behandeling van de in rekening gebrachte BTW is niet gewijzigd.</w:t>
      </w:r>
    </w:p>
    <w:p w14:paraId="4A720B01" w14:textId="77777777" w:rsidR="00CF5C61" w:rsidRDefault="00CF5C61" w:rsidP="005B60DF">
      <w:pPr>
        <w:pStyle w:val="Plattetekst"/>
      </w:pPr>
    </w:p>
    <w:p w14:paraId="4A720B02" w14:textId="77777777" w:rsidR="00CF5C61" w:rsidRDefault="00CF5C61" w:rsidP="005B60DF">
      <w:pPr>
        <w:pStyle w:val="Plattetekst"/>
        <w:rPr>
          <w:b/>
        </w:rPr>
      </w:pPr>
      <w:r>
        <w:rPr>
          <w:b/>
        </w:rPr>
        <w:t>BTW en sport</w:t>
      </w:r>
      <w:r w:rsidR="00EF5D16">
        <w:rPr>
          <w:b/>
        </w:rPr>
        <w:t xml:space="preserve"> vanaf 20190101 voor Accres Apeldoorn</w:t>
      </w:r>
    </w:p>
    <w:p w14:paraId="4A720B03" w14:textId="77777777" w:rsidR="006E0FEA" w:rsidRDefault="006E0FEA" w:rsidP="005B60DF">
      <w:pPr>
        <w:pStyle w:val="Plattetekst"/>
      </w:pPr>
      <w:r>
        <w:t xml:space="preserve">Met ingang van 2019 is gelegenheid tot geven van sport vrijgesteld van Omzetbelasting. Dit betekent ook dat de in rekening gebrachte BTW niet meer aftrekbaar is. Leek de strekking van de voorgenomen wetswijziging beperkt te blijven tot sportverenigingen, bleken </w:t>
      </w:r>
      <w:r w:rsidR="00EF5D16">
        <w:t xml:space="preserve">echter </w:t>
      </w:r>
      <w:r>
        <w:t xml:space="preserve">in het definitieve wetsvoorstel ook ‘sportbedrijven’, voor zover deze niet winst beogend zijn, in het wetsvoorstel te zijn opgenomen. </w:t>
      </w:r>
    </w:p>
    <w:p w14:paraId="4A720B04" w14:textId="77777777" w:rsidR="00EA2AB0" w:rsidRDefault="00EF5D16" w:rsidP="005B60DF">
      <w:pPr>
        <w:pStyle w:val="Plattetekst"/>
      </w:pPr>
      <w:r>
        <w:t>In</w:t>
      </w:r>
      <w:r w:rsidR="00EA2AB0">
        <w:t xml:space="preserve"> overleg met de Gemeente en onze fiscalist</w:t>
      </w:r>
      <w:r>
        <w:t xml:space="preserve"> zijn wij tot de conclusie gekomen dat Accres een winst beogende onderneming is en daarom </w:t>
      </w:r>
      <w:r w:rsidR="00EA2AB0">
        <w:t>factureren wij nog steeds met Omzetbelasting en brengen wij de in rekening gebrachte BTW nog steeds in aftrek.</w:t>
      </w:r>
      <w:r w:rsidR="00D21BD2">
        <w:t xml:space="preserve"> Meerdere sportbedrijven nemen dit standpunt in. </w:t>
      </w:r>
      <w:r w:rsidR="00EA2AB0">
        <w:t xml:space="preserve"> Dus geen veranderingen t.o.v. voorgaande jaren. De Belastingdienst kan voorlopig nog niet met een standpunt komen of Accres en soortgelijke ondernemingen winst beogend zijn en daarmee onder het oude regime vallen of dat zij onder de werking van de nieuw wetgeving vallen.</w:t>
      </w:r>
      <w:r w:rsidR="00D21BD2">
        <w:t xml:space="preserve"> Zie bijlagen </w:t>
      </w:r>
      <w:r w:rsidR="009C7B5B">
        <w:t>5</w:t>
      </w:r>
      <w:r w:rsidR="00D21BD2">
        <w:t xml:space="preserve"> en </w:t>
      </w:r>
      <w:r w:rsidR="009C7B5B">
        <w:t>6</w:t>
      </w:r>
      <w:r w:rsidR="00D21BD2">
        <w:t>.</w:t>
      </w:r>
    </w:p>
    <w:p w14:paraId="4A720B05" w14:textId="77777777" w:rsidR="006E0FEA" w:rsidRDefault="006E0FEA" w:rsidP="005B60DF">
      <w:pPr>
        <w:pStyle w:val="Plattetekst"/>
      </w:pPr>
      <w:r>
        <w:t>Inmiddels heeft de Gemeente Apeldoorn</w:t>
      </w:r>
      <w:r w:rsidR="00EA2AB0">
        <w:t xml:space="preserve"> om haar rechten veilig te stellen wel een SPUK aanvraag (Specifieke Uitkering) bij het Rijk ingediend. </w:t>
      </w:r>
      <w:r w:rsidR="00D21BD2">
        <w:t xml:space="preserve">Zie bijlage </w:t>
      </w:r>
      <w:r w:rsidR="00BC464F">
        <w:t>6</w:t>
      </w:r>
      <w:r w:rsidR="00D21BD2">
        <w:t>.</w:t>
      </w:r>
    </w:p>
    <w:p w14:paraId="4A720B06" w14:textId="77777777" w:rsidR="0041778B" w:rsidRDefault="00D21BD2" w:rsidP="005B60DF">
      <w:pPr>
        <w:pStyle w:val="Plattetekst"/>
      </w:pPr>
      <w:r>
        <w:t xml:space="preserve">Stel dat Accres toch onder de nieuwe wetgeving valt dan zou, op basis van de begroting 2019, de schade uitkomen op € </w:t>
      </w:r>
      <w:r w:rsidR="001F60A8">
        <w:t>930</w:t>
      </w:r>
      <w:r>
        <w:t xml:space="preserve">K. </w:t>
      </w:r>
      <w:r w:rsidR="001F60A8">
        <w:t xml:space="preserve">Omdat wij in overleg met de Gemeente als uitgangspunt hebben gekozen dat de tarieven voor de consument niet wijzigen levert dit voor Accres een voordeel op van € 330K (de BTW in de consumententarieven hoeft immers niet te worden afgedragen). </w:t>
      </w:r>
      <w:r w:rsidR="0041778B">
        <w:t>Dan zou de netto schade voor Accres uitkomen op € 600K.</w:t>
      </w:r>
    </w:p>
    <w:p w14:paraId="4A720B07" w14:textId="77777777" w:rsidR="0041778B" w:rsidRDefault="0041778B" w:rsidP="005B60DF">
      <w:pPr>
        <w:pStyle w:val="Plattetekst"/>
      </w:pPr>
      <w:r>
        <w:t>Gezien de regels voor de SPUK kan de Gemeente deze € 330K ook claimen in de aanvraag. Stel dat dit gehonoreerd wordt en de Gemeente geeft dit door aan Accres dan ontstaat er een discussie over de prijsstelling naar de consument: geven we dit door</w:t>
      </w:r>
      <w:r w:rsidR="00DB575C">
        <w:t xml:space="preserve"> als prijsverlaging aan de consument</w:t>
      </w:r>
      <w:r>
        <w:t xml:space="preserve"> of laten we de consumentenprijzen in tact. </w:t>
      </w:r>
    </w:p>
    <w:p w14:paraId="4A720B08" w14:textId="77777777" w:rsidR="00DB575C" w:rsidRDefault="00DB575C" w:rsidP="005B60DF">
      <w:pPr>
        <w:pStyle w:val="Plattetekst"/>
      </w:pPr>
      <w:r>
        <w:t>Samenvattend: de Gemeente heeft € 930K aangevraagd, waaronder de € 330K voor BTW op de omzet. Eerst als de aanvraag goedgekeurd is</w:t>
      </w:r>
      <w:r w:rsidR="00F50130">
        <w:t>, weten wij wat gehonoreerd wordt.</w:t>
      </w:r>
    </w:p>
    <w:p w14:paraId="4A720B09" w14:textId="77777777" w:rsidR="00BC464F" w:rsidRDefault="00BC464F" w:rsidP="005B60DF">
      <w:pPr>
        <w:pStyle w:val="Plattetekst"/>
      </w:pPr>
    </w:p>
    <w:p w14:paraId="4A720B0A" w14:textId="77777777" w:rsidR="00BC464F" w:rsidRDefault="00BC464F" w:rsidP="005B60DF">
      <w:pPr>
        <w:pStyle w:val="Plattetekst"/>
        <w:rPr>
          <w:b/>
        </w:rPr>
      </w:pPr>
      <w:r>
        <w:rPr>
          <w:b/>
        </w:rPr>
        <w:lastRenderedPageBreak/>
        <w:t>Accres Almelo en de BTW.</w:t>
      </w:r>
    </w:p>
    <w:p w14:paraId="4A720B0B" w14:textId="77777777" w:rsidR="00BC464F" w:rsidRDefault="00BC464F" w:rsidP="005B60DF">
      <w:pPr>
        <w:pStyle w:val="Plattetekst"/>
      </w:pPr>
      <w:r>
        <w:t xml:space="preserve">In haar brief van 7 </w:t>
      </w:r>
      <w:r w:rsidR="002E5121">
        <w:t>april</w:t>
      </w:r>
      <w:r>
        <w:t xml:space="preserve"> 2014 heeft de Belastingdienst bevestigd dat de dienstverlening door Accres gezien wordt als een met Omzetbelasting geleverde prestatie. Zie bijlage 7.</w:t>
      </w:r>
    </w:p>
    <w:p w14:paraId="4A720B0C" w14:textId="77777777" w:rsidR="00BC464F" w:rsidRDefault="00BC464F" w:rsidP="005B60DF">
      <w:pPr>
        <w:pStyle w:val="Plattetekst"/>
      </w:pPr>
      <w:r>
        <w:t>In dezelfde brief is bepaald dat Accres de in rekening gebracht</w:t>
      </w:r>
      <w:r w:rsidR="00B1177B">
        <w:t>e</w:t>
      </w:r>
      <w:r>
        <w:t xml:space="preserve"> BTW in aftrek mag nemen. Omdat een deel van de geleverde prestatie</w:t>
      </w:r>
      <w:r w:rsidR="00B1177B">
        <w:t>s</w:t>
      </w:r>
      <w:r>
        <w:t xml:space="preserve"> vrijgesteld is van Omzetbelasting mag Accres niet alle BTW in aftrek nemen. </w:t>
      </w:r>
      <w:r w:rsidR="00B1177B">
        <w:t>BTW die niet specifiek toe te rekenen is aan een prestatie mag voor een bepaald percentage in aftrek genomen worden. Dit percentage wordt bepaald op basis van de verhouding tussen de belaste omzet en de totale omzet.</w:t>
      </w:r>
    </w:p>
    <w:p w14:paraId="4A720B0D" w14:textId="77777777" w:rsidR="00B1177B" w:rsidRDefault="00B1177B" w:rsidP="005B60DF">
      <w:pPr>
        <w:pStyle w:val="Plattetekst"/>
      </w:pPr>
    </w:p>
    <w:p w14:paraId="4A720B0E" w14:textId="77777777" w:rsidR="00B1177B" w:rsidRDefault="00B1177B" w:rsidP="005B60DF">
      <w:pPr>
        <w:pStyle w:val="Plattetekst"/>
        <w:rPr>
          <w:b/>
        </w:rPr>
      </w:pPr>
      <w:r>
        <w:rPr>
          <w:b/>
        </w:rPr>
        <w:t>Overige tot Accres behorende vennootschappen.</w:t>
      </w:r>
    </w:p>
    <w:p w14:paraId="4A720B0F" w14:textId="77777777" w:rsidR="00B1177B" w:rsidRPr="00B1177B" w:rsidRDefault="00B1177B" w:rsidP="005B60DF">
      <w:pPr>
        <w:pStyle w:val="Plattetekst"/>
      </w:pPr>
      <w:r>
        <w:t>Voor deze vennootschappen zijn geen specifieke afspraken gemaakt met de Belastingdienst.</w:t>
      </w:r>
    </w:p>
    <w:p w14:paraId="4A720B10" w14:textId="77777777" w:rsidR="00120890" w:rsidRDefault="00120890" w:rsidP="00120890">
      <w:pPr>
        <w:pStyle w:val="Plattetekst"/>
      </w:pPr>
    </w:p>
    <w:p w14:paraId="4A720B11" w14:textId="77777777" w:rsidR="00120890" w:rsidRPr="006E028C" w:rsidRDefault="00120890" w:rsidP="00120890">
      <w:pPr>
        <w:pStyle w:val="Plattetekst"/>
      </w:pPr>
    </w:p>
    <w:p w14:paraId="4A720B12" w14:textId="77777777" w:rsidR="006E028C" w:rsidRPr="006E028C" w:rsidRDefault="006E028C" w:rsidP="006E028C">
      <w:pPr>
        <w:pStyle w:val="Plattetekst"/>
        <w:rPr>
          <w:b/>
        </w:rPr>
      </w:pPr>
    </w:p>
    <w:p w14:paraId="4A720B13" w14:textId="77777777" w:rsidR="006E028C" w:rsidRPr="006E028C" w:rsidRDefault="006E028C" w:rsidP="006E028C">
      <w:pPr>
        <w:pStyle w:val="Plattetekst"/>
      </w:pPr>
    </w:p>
    <w:p w14:paraId="4A720B14" w14:textId="77777777" w:rsidR="00B60C38" w:rsidRDefault="00B60C38" w:rsidP="00B60C38">
      <w:bookmarkStart w:id="6" w:name="blwStart"/>
      <w:bookmarkEnd w:id="6"/>
    </w:p>
    <w:p w14:paraId="4A720B15" w14:textId="77777777" w:rsidR="00B60C38" w:rsidRPr="00051314" w:rsidRDefault="00B60C38" w:rsidP="00B60C38"/>
    <w:p w14:paraId="4A720B16" w14:textId="77777777" w:rsidR="00831EA8" w:rsidRPr="00B60C38" w:rsidRDefault="00831EA8" w:rsidP="00B60C38"/>
    <w:sectPr w:rsidR="00831EA8" w:rsidRPr="00B60C38" w:rsidSect="00D95EE5">
      <w:headerReference w:type="default" r:id="rId10"/>
      <w:pgSz w:w="11906" w:h="16838"/>
      <w:pgMar w:top="241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20B19" w14:textId="77777777" w:rsidR="00442BAA" w:rsidRDefault="00442BAA" w:rsidP="00442BAA">
      <w:r>
        <w:separator/>
      </w:r>
    </w:p>
  </w:endnote>
  <w:endnote w:type="continuationSeparator" w:id="0">
    <w:p w14:paraId="4A720B1A" w14:textId="77777777" w:rsidR="00442BAA" w:rsidRDefault="00442BAA" w:rsidP="0044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20B17" w14:textId="77777777" w:rsidR="00442BAA" w:rsidRDefault="00442BAA" w:rsidP="00442BAA">
      <w:r>
        <w:separator/>
      </w:r>
    </w:p>
  </w:footnote>
  <w:footnote w:type="continuationSeparator" w:id="0">
    <w:p w14:paraId="4A720B18" w14:textId="77777777" w:rsidR="00442BAA" w:rsidRDefault="00442BAA" w:rsidP="00442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20B1B" w14:textId="77777777" w:rsidR="00442BAA" w:rsidRDefault="00442BAA">
    <w:pPr>
      <w:pStyle w:val="Koptekst"/>
    </w:pPr>
    <w:r>
      <w:rPr>
        <w:noProof/>
      </w:rPr>
      <w:drawing>
        <wp:anchor distT="0" distB="0" distL="114300" distR="114300" simplePos="0" relativeHeight="251659264" behindDoc="1" locked="0" layoutInCell="1" allowOverlap="1" wp14:anchorId="4A720B1C" wp14:editId="4A720B1D">
          <wp:simplePos x="0" y="0"/>
          <wp:positionH relativeFrom="column">
            <wp:posOffset>-899160</wp:posOffset>
          </wp:positionH>
          <wp:positionV relativeFrom="paragraph">
            <wp:posOffset>-447675</wp:posOffset>
          </wp:positionV>
          <wp:extent cx="7581900" cy="1278255"/>
          <wp:effectExtent l="0" t="0" r="0" b="0"/>
          <wp:wrapNone/>
          <wp:docPr id="3" name="Afbeelding 3" descr="C:\Users\mgr01\AppData\Local\Microsoft\Windows\INetCache\Content.Word\Word-sjalboon 2016_vol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gr01\AppData\Local\Microsoft\Windows\INetCache\Content.Word\Word-sjalboon 2016_vol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278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E2304"/>
    <w:multiLevelType w:val="hybridMultilevel"/>
    <w:tmpl w:val="7576CA48"/>
    <w:lvl w:ilvl="0" w:tplc="78F4AEB8">
      <w:numFmt w:val="bullet"/>
      <w:lvlText w:val=""/>
      <w:lvlJc w:val="left"/>
      <w:pPr>
        <w:ind w:left="1080" w:hanging="360"/>
      </w:pPr>
      <w:rPr>
        <w:rFonts w:ascii="Wingdings" w:eastAsia="Times New Roman" w:hAnsi="Wingdings"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21917A77"/>
    <w:multiLevelType w:val="hybridMultilevel"/>
    <w:tmpl w:val="849CD4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10940CB"/>
    <w:multiLevelType w:val="hybridMultilevel"/>
    <w:tmpl w:val="5FD83B2E"/>
    <w:lvl w:ilvl="0" w:tplc="E87EC93A">
      <w:start w:val="9"/>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B704051"/>
    <w:multiLevelType w:val="hybridMultilevel"/>
    <w:tmpl w:val="B4CC910E"/>
    <w:lvl w:ilvl="0" w:tplc="B6D47756">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D9E5D1A"/>
    <w:multiLevelType w:val="hybridMultilevel"/>
    <w:tmpl w:val="0EA2D7E8"/>
    <w:lvl w:ilvl="0" w:tplc="94BEA270">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31203607">
    <w:abstractNumId w:val="2"/>
  </w:num>
  <w:num w:numId="2" w16cid:durableId="1065419174">
    <w:abstractNumId w:val="1"/>
  </w:num>
  <w:num w:numId="3" w16cid:durableId="1130824829">
    <w:abstractNumId w:val="4"/>
  </w:num>
  <w:num w:numId="4" w16cid:durableId="423309870">
    <w:abstractNumId w:val="3"/>
  </w:num>
  <w:num w:numId="5" w16cid:durableId="116266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BAA"/>
    <w:rsid w:val="00073A9A"/>
    <w:rsid w:val="000F5D17"/>
    <w:rsid w:val="00120890"/>
    <w:rsid w:val="001941CF"/>
    <w:rsid w:val="001E2692"/>
    <w:rsid w:val="001F60A8"/>
    <w:rsid w:val="002224A8"/>
    <w:rsid w:val="00232C52"/>
    <w:rsid w:val="002E5121"/>
    <w:rsid w:val="0041778B"/>
    <w:rsid w:val="00442BAA"/>
    <w:rsid w:val="004F679C"/>
    <w:rsid w:val="00502D8B"/>
    <w:rsid w:val="00556D8F"/>
    <w:rsid w:val="005909F2"/>
    <w:rsid w:val="005B60DF"/>
    <w:rsid w:val="005E012C"/>
    <w:rsid w:val="00603802"/>
    <w:rsid w:val="006B111B"/>
    <w:rsid w:val="006B22E8"/>
    <w:rsid w:val="006E028C"/>
    <w:rsid w:val="006E0FEA"/>
    <w:rsid w:val="00742C00"/>
    <w:rsid w:val="007E214F"/>
    <w:rsid w:val="00831EA8"/>
    <w:rsid w:val="00867BA6"/>
    <w:rsid w:val="00916552"/>
    <w:rsid w:val="00934B7E"/>
    <w:rsid w:val="009C7B5B"/>
    <w:rsid w:val="00A2140D"/>
    <w:rsid w:val="00A60EFC"/>
    <w:rsid w:val="00AF759F"/>
    <w:rsid w:val="00B1177B"/>
    <w:rsid w:val="00B354FC"/>
    <w:rsid w:val="00B45543"/>
    <w:rsid w:val="00B60C38"/>
    <w:rsid w:val="00B84455"/>
    <w:rsid w:val="00BC464F"/>
    <w:rsid w:val="00BC473B"/>
    <w:rsid w:val="00C46C4F"/>
    <w:rsid w:val="00CE0C7F"/>
    <w:rsid w:val="00CF5C61"/>
    <w:rsid w:val="00D21BD2"/>
    <w:rsid w:val="00D5267A"/>
    <w:rsid w:val="00D61854"/>
    <w:rsid w:val="00D95EE5"/>
    <w:rsid w:val="00DB575C"/>
    <w:rsid w:val="00DC46D4"/>
    <w:rsid w:val="00EA2AB0"/>
    <w:rsid w:val="00EF5D16"/>
    <w:rsid w:val="00F2258F"/>
    <w:rsid w:val="00F467A9"/>
    <w:rsid w:val="00F50130"/>
    <w:rsid w:val="00FE55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A720AC4"/>
  <w15:chartTrackingRefBased/>
  <w15:docId w15:val="{2DF7C4D5-0657-4664-9FCE-FF02DF113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next w:val="Plattetekst"/>
    <w:qFormat/>
    <w:rsid w:val="00442BAA"/>
    <w:pPr>
      <w:spacing w:after="0" w:line="240" w:lineRule="auto"/>
    </w:pPr>
    <w:rPr>
      <w:rFonts w:ascii="Lucida Sans" w:eastAsia="Times New Roman" w:hAnsi="Lucida Sans" w:cs="Times New Roman"/>
      <w:kern w:val="20"/>
      <w:sz w:val="18"/>
      <w:szCs w:val="20"/>
      <w:lang w:eastAsia="nl-NL"/>
    </w:rPr>
  </w:style>
  <w:style w:type="paragraph" w:styleId="Kop1">
    <w:name w:val="heading 1"/>
    <w:basedOn w:val="Standaard"/>
    <w:next w:val="Standaard"/>
    <w:link w:val="Kop1Char"/>
    <w:uiPriority w:val="9"/>
    <w:qFormat/>
    <w:rsid w:val="00442BAA"/>
    <w:pPr>
      <w:keepNext/>
      <w:keepLines/>
      <w:spacing w:before="240"/>
      <w:outlineLvl w:val="0"/>
    </w:pPr>
    <w:rPr>
      <w:rFonts w:eastAsiaTheme="majorEastAsia" w:cstheme="majorBidi"/>
      <w:b/>
      <w:color w:val="0070BA"/>
      <w:sz w:val="34"/>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42BAA"/>
    <w:pPr>
      <w:tabs>
        <w:tab w:val="center" w:pos="4536"/>
        <w:tab w:val="right" w:pos="9072"/>
      </w:tabs>
    </w:pPr>
  </w:style>
  <w:style w:type="character" w:customStyle="1" w:styleId="KoptekstChar">
    <w:name w:val="Koptekst Char"/>
    <w:basedOn w:val="Standaardalinea-lettertype"/>
    <w:link w:val="Koptekst"/>
    <w:uiPriority w:val="99"/>
    <w:rsid w:val="00442BAA"/>
  </w:style>
  <w:style w:type="paragraph" w:styleId="Voettekst">
    <w:name w:val="footer"/>
    <w:basedOn w:val="Standaard"/>
    <w:link w:val="VoettekstChar"/>
    <w:uiPriority w:val="99"/>
    <w:unhideWhenUsed/>
    <w:rsid w:val="00442BAA"/>
    <w:pPr>
      <w:tabs>
        <w:tab w:val="center" w:pos="4536"/>
        <w:tab w:val="right" w:pos="9072"/>
      </w:tabs>
    </w:pPr>
  </w:style>
  <w:style w:type="character" w:customStyle="1" w:styleId="VoettekstChar">
    <w:name w:val="Voettekst Char"/>
    <w:basedOn w:val="Standaardalinea-lettertype"/>
    <w:link w:val="Voettekst"/>
    <w:uiPriority w:val="99"/>
    <w:rsid w:val="00442BAA"/>
  </w:style>
  <w:style w:type="paragraph" w:styleId="Plattetekst">
    <w:name w:val="Body Text"/>
    <w:basedOn w:val="Standaard"/>
    <w:link w:val="PlattetekstChar"/>
    <w:uiPriority w:val="99"/>
    <w:semiHidden/>
    <w:unhideWhenUsed/>
    <w:rsid w:val="00442BAA"/>
    <w:pPr>
      <w:spacing w:after="120"/>
    </w:pPr>
  </w:style>
  <w:style w:type="character" w:customStyle="1" w:styleId="PlattetekstChar">
    <w:name w:val="Platte tekst Char"/>
    <w:basedOn w:val="Standaardalinea-lettertype"/>
    <w:link w:val="Plattetekst"/>
    <w:uiPriority w:val="99"/>
    <w:semiHidden/>
    <w:rsid w:val="00442BAA"/>
    <w:rPr>
      <w:rFonts w:ascii="Lucida Sans Unicode" w:eastAsia="Times New Roman" w:hAnsi="Lucida Sans Unicode" w:cs="Times New Roman"/>
      <w:kern w:val="20"/>
      <w:sz w:val="20"/>
      <w:szCs w:val="20"/>
      <w:lang w:eastAsia="nl-NL"/>
    </w:rPr>
  </w:style>
  <w:style w:type="character" w:customStyle="1" w:styleId="Kop1Char">
    <w:name w:val="Kop 1 Char"/>
    <w:basedOn w:val="Standaardalinea-lettertype"/>
    <w:link w:val="Kop1"/>
    <w:uiPriority w:val="9"/>
    <w:rsid w:val="00442BAA"/>
    <w:rPr>
      <w:rFonts w:ascii="Lucida Sans" w:eastAsiaTheme="majorEastAsia" w:hAnsi="Lucida Sans" w:cstheme="majorBidi"/>
      <w:b/>
      <w:color w:val="0070BA"/>
      <w:kern w:val="20"/>
      <w:sz w:val="34"/>
      <w:szCs w:val="32"/>
      <w:lang w:eastAsia="nl-NL"/>
    </w:rPr>
  </w:style>
  <w:style w:type="paragraph" w:styleId="Ballontekst">
    <w:name w:val="Balloon Text"/>
    <w:basedOn w:val="Standaard"/>
    <w:link w:val="BallontekstChar"/>
    <w:uiPriority w:val="99"/>
    <w:semiHidden/>
    <w:unhideWhenUsed/>
    <w:rsid w:val="00FE555E"/>
    <w:rPr>
      <w:rFonts w:ascii="Segoe UI" w:hAnsi="Segoe UI" w:cs="Segoe UI"/>
      <w:szCs w:val="18"/>
    </w:rPr>
  </w:style>
  <w:style w:type="character" w:customStyle="1" w:styleId="BallontekstChar">
    <w:name w:val="Ballontekst Char"/>
    <w:basedOn w:val="Standaardalinea-lettertype"/>
    <w:link w:val="Ballontekst"/>
    <w:uiPriority w:val="99"/>
    <w:semiHidden/>
    <w:rsid w:val="00FE555E"/>
    <w:rPr>
      <w:rFonts w:ascii="Segoe UI" w:eastAsia="Times New Roman" w:hAnsi="Segoe UI" w:cs="Segoe UI"/>
      <w:kern w:val="20"/>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AA67FD366A9D49A90477AEBF7FDE20" ma:contentTypeVersion="2" ma:contentTypeDescription="Een nieuw document maken." ma:contentTypeScope="" ma:versionID="47f344b0148f2ad2c868d3bf884f65c6">
  <xsd:schema xmlns:xsd="http://www.w3.org/2001/XMLSchema" xmlns:xs="http://www.w3.org/2001/XMLSchema" xmlns:p="http://schemas.microsoft.com/office/2006/metadata/properties" xmlns:ns2="79544e5b-2503-4971-aa49-af3993aa0e90" targetNamespace="http://schemas.microsoft.com/office/2006/metadata/properties" ma:root="true" ma:fieldsID="88dfa96ed6dd0fe33d203fd3d3ca9913" ns2:_="">
    <xsd:import namespace="79544e5b-2503-4971-aa49-af3993aa0e9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544e5b-2503-4971-aa49-af3993aa0e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22FB0B-E109-44FF-9FD3-4D97AC7DC134}">
  <ds:schemaRefs>
    <ds:schemaRef ds:uri="http://schemas.microsoft.com/sharepoint/v3/contenttype/forms"/>
  </ds:schemaRefs>
</ds:datastoreItem>
</file>

<file path=customXml/itemProps2.xml><?xml version="1.0" encoding="utf-8"?>
<ds:datastoreItem xmlns:ds="http://schemas.openxmlformats.org/officeDocument/2006/customXml" ds:itemID="{E072FC53-33F9-40CE-B001-775317485670}"/>
</file>

<file path=customXml/itemProps3.xml><?xml version="1.0" encoding="utf-8"?>
<ds:datastoreItem xmlns:ds="http://schemas.openxmlformats.org/officeDocument/2006/customXml" ds:itemID="{D2DE78DE-AA04-45AD-8BF4-935D2F7B2DD6}">
  <ds:schemaRefs>
    <ds:schemaRef ds:uri="http://www.w3.org/XML/1998/namespace"/>
    <ds:schemaRef ds:uri="http://schemas.microsoft.com/office/infopath/2007/PartnerControls"/>
    <ds:schemaRef ds:uri="http://purl.org/dc/dcmitype/"/>
    <ds:schemaRef ds:uri="http://schemas.microsoft.com/office/2006/documentManagement/types"/>
    <ds:schemaRef ds:uri="http://purl.org/dc/terms/"/>
    <ds:schemaRef ds:uri="http://purl.org/dc/elements/1.1/"/>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1036</Words>
  <Characters>5701</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miranda grolleman</dc:creator>
  <cp:keywords/>
  <dc:description>Kleur Blauw:0/112/186
Groen: RGB:  148/193/30  
Document opslaan als pdf</dc:description>
  <cp:lastModifiedBy>Hans Steunenberg</cp:lastModifiedBy>
  <cp:revision>2</cp:revision>
  <cp:lastPrinted>2019-05-29T11:30:00Z</cp:lastPrinted>
  <dcterms:created xsi:type="dcterms:W3CDTF">2023-03-01T07:18:00Z</dcterms:created>
  <dcterms:modified xsi:type="dcterms:W3CDTF">2023-03-01T07:18:00Z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0x010100F009F5BEFD20A54497D6FC9AA7F29D24</vt:lpwstr>
  </property>
</Properties>
</file>